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482" w:rsidRPr="006125B6" w:rsidRDefault="00E86482" w:rsidP="00E86482">
      <w:pPr>
        <w:widowControl w:val="0"/>
        <w:autoSpaceDE w:val="0"/>
        <w:autoSpaceDN w:val="0"/>
        <w:spacing w:after="0" w:line="240" w:lineRule="auto"/>
        <w:rPr>
          <w:rFonts w:eastAsia="Times New Roman" w:cs="Times New Roman"/>
          <w:sz w:val="28"/>
          <w:szCs w:val="28"/>
          <w:lang w:val="vi-VN"/>
        </w:rPr>
      </w:pPr>
      <w:r w:rsidRPr="006125B6">
        <w:rPr>
          <w:rFonts w:eastAsia="Times New Roman" w:cs="Times New Roman"/>
          <w:b/>
          <w:caps/>
          <w:sz w:val="24"/>
          <w:lang w:val="vi"/>
        </w:rPr>
        <w:t xml:space="preserve">cuộc thi trong du </w:t>
      </w:r>
      <w:r w:rsidRPr="006125B6">
        <w:rPr>
          <w:rFonts w:eastAsia="Times New Roman" w:cs="Times New Roman"/>
          <w:b/>
          <w:caps/>
          <w:sz w:val="24"/>
          <w:lang w:val="vi-VN"/>
        </w:rPr>
        <w:t>LỊCH</w:t>
      </w:r>
      <w:r w:rsidRPr="006125B6">
        <w:rPr>
          <w:rFonts w:eastAsia="Times New Roman" w:cs="Times New Roman"/>
          <w:caps/>
          <w:sz w:val="24"/>
          <w:lang w:val="vi-VN"/>
        </w:rPr>
        <w:t>,</w:t>
      </w:r>
      <w:r w:rsidRPr="006125B6">
        <w:rPr>
          <w:rFonts w:eastAsia="Times New Roman" w:cs="Times New Roman"/>
          <w:sz w:val="28"/>
          <w:szCs w:val="28"/>
          <w:lang w:val="vi"/>
        </w:rPr>
        <w:t xml:space="preserve"> </w:t>
      </w:r>
      <w:r w:rsidRPr="006125B6">
        <w:rPr>
          <w:rFonts w:eastAsia="Times New Roman" w:cs="Times New Roman"/>
          <w:sz w:val="28"/>
          <w:szCs w:val="28"/>
          <w:lang w:val="vi-VN"/>
        </w:rPr>
        <w:t xml:space="preserve">sự kiện hoặc cuộc thi mà những người tham gia thể hiện kiến thức, kỹ năng hoặc khả năng sáng tạo của họ liên quan đến du lịch, hoạt động thu hút công chúng và các bên liên quan, quan tâm đến du lịch được tổ chức theo kế hoạch, chương trình và thời lượng xác định, diễn ra một lần hoặc định kỳ, với mục đích lựa chọn các điển hình và thực hành tốt nhất kết hợp mục đích quảng bá, xúc tiến du lịch hoặc điểm đến du lịch. </w:t>
      </w:r>
    </w:p>
    <w:p w:rsidR="00E86482" w:rsidRPr="006125B6" w:rsidRDefault="00E86482" w:rsidP="00E86482">
      <w:pPr>
        <w:widowControl w:val="0"/>
        <w:autoSpaceDE w:val="0"/>
        <w:autoSpaceDN w:val="0"/>
        <w:spacing w:after="0" w:line="240" w:lineRule="auto"/>
        <w:ind w:firstLine="720"/>
        <w:rPr>
          <w:rFonts w:eastAsia="Times New Roman" w:cs="Times New Roman"/>
          <w:sz w:val="28"/>
          <w:lang w:val="vi"/>
        </w:rPr>
      </w:pPr>
      <w:r w:rsidRPr="006125B6">
        <w:rPr>
          <w:rFonts w:eastAsia="Times New Roman" w:cs="Times New Roman"/>
          <w:sz w:val="28"/>
          <w:szCs w:val="28"/>
          <w:lang w:val="vi"/>
        </w:rPr>
        <w:t xml:space="preserve">Có rất nhiều cuộc thi khác nhau </w:t>
      </w:r>
      <w:r w:rsidRPr="006125B6">
        <w:rPr>
          <w:rFonts w:eastAsia="Times New Roman" w:cs="Times New Roman"/>
          <w:sz w:val="28"/>
          <w:szCs w:val="28"/>
          <w:lang w:val="vi-VN"/>
        </w:rPr>
        <w:t>như:</w:t>
      </w:r>
      <w:r w:rsidRPr="006125B6">
        <w:rPr>
          <w:rFonts w:eastAsia="Times New Roman" w:cs="Times New Roman"/>
          <w:sz w:val="28"/>
          <w:szCs w:val="28"/>
          <w:lang w:val="vi"/>
        </w:rPr>
        <w:t xml:space="preserve"> cuộc thi nghiệp vụ (nghề) Du lịch; cuộc thi ảnh, clip xúc tiến, quảng bá du lịch; cuộc thi sáng kiến, giải pháp phát triển du lịch; cuộc thi thiết kế biểu trưng du lịch, cuộc thi sắc đẹp du lịch,…</w:t>
      </w:r>
      <w:r w:rsidRPr="006125B6">
        <w:rPr>
          <w:rFonts w:eastAsia="Times New Roman" w:cs="Times New Roman"/>
          <w:sz w:val="28"/>
          <w:lang w:val="vi"/>
        </w:rPr>
        <w:t xml:space="preserve"> </w:t>
      </w:r>
    </w:p>
    <w:p w:rsidR="00E86482" w:rsidRPr="006125B6" w:rsidRDefault="00E86482" w:rsidP="00E86482">
      <w:pPr>
        <w:widowControl w:val="0"/>
        <w:autoSpaceDE w:val="0"/>
        <w:autoSpaceDN w:val="0"/>
        <w:spacing w:after="0" w:line="240" w:lineRule="auto"/>
        <w:ind w:firstLine="720"/>
        <w:rPr>
          <w:rFonts w:eastAsia="Times New Roman" w:cs="Times New Roman"/>
          <w:sz w:val="28"/>
          <w:lang w:val="vi"/>
        </w:rPr>
      </w:pPr>
      <w:r w:rsidRPr="006125B6">
        <w:rPr>
          <w:rFonts w:eastAsia="Times New Roman" w:cs="Times New Roman"/>
          <w:sz w:val="28"/>
          <w:lang w:val="vi"/>
        </w:rPr>
        <w:t xml:space="preserve"> Những </w:t>
      </w:r>
      <w:r w:rsidRPr="006125B6">
        <w:rPr>
          <w:rFonts w:eastAsia="Times New Roman" w:cs="Times New Roman"/>
          <w:sz w:val="28"/>
          <w:lang w:val="vi-VN"/>
        </w:rPr>
        <w:t xml:space="preserve">CTTDL </w:t>
      </w:r>
      <w:r w:rsidRPr="006125B6">
        <w:rPr>
          <w:rFonts w:eastAsia="Times New Roman" w:cs="Times New Roman"/>
          <w:sz w:val="28"/>
          <w:lang w:val="vi"/>
        </w:rPr>
        <w:t xml:space="preserve">đầu tiên xuất phát từ nhu cầu nâng cao năng lực chuyên môn của nhân viên và năng lực cạnh tranh của doanh nghiệp và ngành Du lịch nói chung. Nhân viên du lịch, đặc biệt là lao động trực tiếp phục vụ khách cần phải thành thạo nhiều kỹ năng để đảm bảo phục vụ khách tốt, qua đó, nâng cao uy tín cho doanh nghiệp và ngành Du lịch. Vì vậy, </w:t>
      </w:r>
      <w:r w:rsidRPr="006125B6">
        <w:rPr>
          <w:rFonts w:eastAsia="Times New Roman" w:cs="Times New Roman"/>
          <w:sz w:val="28"/>
          <w:lang w:val="vi-VN"/>
        </w:rPr>
        <w:t>CTTDL</w:t>
      </w:r>
      <w:r w:rsidRPr="006125B6">
        <w:rPr>
          <w:rFonts w:eastAsia="Times New Roman" w:cs="Times New Roman"/>
          <w:sz w:val="28"/>
          <w:lang w:val="vi"/>
        </w:rPr>
        <w:t xml:space="preserve"> thường gắn với các mục tiêu và yêu cầu về nâng cao chuyên môn, nghiệp vụ và tiêu chuẩn nghề. Các cuộc thi hướng tới việc rèn luyện tác phong, trình độ tay nghề, kỹ năng nghề nghiệp, sáng tạo cách làm mới để nâng cao hiệu quả và năng suất lao động. Mục tiêu của cuộc thi để củng cố và kiện toàn đội ngũ lao động trong ngành Du lịch, tăng cường thu hút và nâng cao chất lượng nguồn cung du lịch như: cuộc thi lễ tân, nghiệp vụ buồng, phục vụ nhà hàng, đầu bếp, nhân viên pha chế đồ uống (</w:t>
      </w:r>
      <w:r w:rsidRPr="006125B6">
        <w:rPr>
          <w:rFonts w:eastAsia="Times New Roman" w:cs="Times New Roman"/>
          <w:i/>
          <w:sz w:val="28"/>
          <w:lang w:val="vi"/>
        </w:rPr>
        <w:t>bar tender</w:t>
      </w:r>
      <w:r w:rsidRPr="006125B6">
        <w:rPr>
          <w:rFonts w:eastAsia="Times New Roman" w:cs="Times New Roman"/>
          <w:sz w:val="28"/>
          <w:lang w:val="vi"/>
        </w:rPr>
        <w:t xml:space="preserve">), hướng dẫn viên du lịch, thuyết minh viên tại điểm. Các </w:t>
      </w:r>
      <w:r w:rsidRPr="006125B6">
        <w:rPr>
          <w:rFonts w:eastAsia="Times New Roman" w:cs="Times New Roman"/>
          <w:sz w:val="28"/>
          <w:lang w:val="vi-VN"/>
        </w:rPr>
        <w:t>CTTDL</w:t>
      </w:r>
      <w:r w:rsidRPr="006125B6">
        <w:rPr>
          <w:rFonts w:eastAsia="Times New Roman" w:cs="Times New Roman"/>
          <w:sz w:val="28"/>
          <w:lang w:val="vi"/>
        </w:rPr>
        <w:t xml:space="preserve"> được tổ chức liên tục qua các năm và không ngừng nâng cao chất lượng về chuyên môn phù hợp với yêu cầu ngày càng cao trong du lịch, phù hợp với tiêu chuẩn kỹ năng nghề quốc gia của ngành Du lịch,</w:t>
      </w:r>
      <w:r w:rsidRPr="006125B6">
        <w:rPr>
          <w:rFonts w:eastAsia="Times New Roman" w:cs="Times New Roman"/>
          <w:sz w:val="28"/>
          <w:lang w:val="vi-VN"/>
        </w:rPr>
        <w:t xml:space="preserve"> </w:t>
      </w:r>
      <w:r w:rsidRPr="006125B6">
        <w:rPr>
          <w:rFonts w:eastAsia="Times New Roman" w:cs="Times New Roman"/>
          <w:sz w:val="28"/>
          <w:lang w:val="vi"/>
        </w:rPr>
        <w:t xml:space="preserve">tiêu chuẩn về nghiệp vụ du lịch của khu vực và thế giới. </w:t>
      </w:r>
    </w:p>
    <w:p w:rsidR="00E86482" w:rsidRPr="006125B6" w:rsidRDefault="00E86482" w:rsidP="00E86482">
      <w:pPr>
        <w:widowControl w:val="0"/>
        <w:autoSpaceDE w:val="0"/>
        <w:autoSpaceDN w:val="0"/>
        <w:spacing w:after="0" w:line="240" w:lineRule="auto"/>
        <w:ind w:firstLine="720"/>
        <w:rPr>
          <w:rFonts w:eastAsia="Times New Roman" w:cs="Times New Roman"/>
          <w:sz w:val="28"/>
          <w:lang w:val="vi"/>
        </w:rPr>
      </w:pPr>
      <w:r w:rsidRPr="006125B6">
        <w:rPr>
          <w:rFonts w:eastAsia="Times New Roman" w:cs="Times New Roman"/>
          <w:sz w:val="28"/>
          <w:lang w:val="vi"/>
        </w:rPr>
        <w:t xml:space="preserve">Nhiều cuộc thi không trực tiếp liên quan đến kỹ năng nghiệp vụ, chuyên môn du lịch, có mục đích xúc tiến, quảng bá du lịch, xây dựng hình ảnh và năng lực cạnh tranh du lịch, tạo dựng thương hiệu du lịch như cuộc thi </w:t>
      </w:r>
      <w:r w:rsidRPr="006125B6">
        <w:rPr>
          <w:rFonts w:eastAsia="Times New Roman" w:cs="Times New Roman"/>
          <w:sz w:val="28"/>
          <w:szCs w:val="28"/>
          <w:lang w:val="vi"/>
        </w:rPr>
        <w:t xml:space="preserve">sắc đẹp du lịch, doanh nghiệp sáng tạo, sáng kiến, giải pháp phát triển du lịch, thiết kế - kiến trúc, ảnh nghệ thuật, video clip quảng bá du lịch, bài viết báo chí về du lịch, </w:t>
      </w:r>
      <w:r w:rsidRPr="006125B6">
        <w:rPr>
          <w:rFonts w:eastAsia="Times New Roman" w:cs="Times New Roman"/>
          <w:sz w:val="28"/>
          <w:lang w:val="vi"/>
        </w:rPr>
        <w:t xml:space="preserve">hội thi ẩm thực, sáng tác biểu trưng (logo) và khẩu hiệu (slogan) du lịch,… </w:t>
      </w:r>
    </w:p>
    <w:p w:rsidR="00E86482" w:rsidRPr="006125B6" w:rsidRDefault="00E86482" w:rsidP="00E86482">
      <w:pPr>
        <w:widowControl w:val="0"/>
        <w:autoSpaceDE w:val="0"/>
        <w:autoSpaceDN w:val="0"/>
        <w:spacing w:after="0" w:line="240" w:lineRule="auto"/>
        <w:ind w:firstLine="720"/>
        <w:rPr>
          <w:rFonts w:eastAsia="Times New Roman" w:cs="Times New Roman"/>
          <w:sz w:val="28"/>
          <w:lang w:val="vi"/>
        </w:rPr>
      </w:pPr>
      <w:r w:rsidRPr="006125B6">
        <w:rPr>
          <w:rFonts w:eastAsia="Times New Roman" w:cs="Times New Roman"/>
          <w:sz w:val="28"/>
          <w:lang w:val="vi"/>
        </w:rPr>
        <w:t xml:space="preserve">Cuộc thi có thể là độc lập hoặc là một phần trong chương trình của các sự kiện </w:t>
      </w:r>
      <w:r w:rsidRPr="006125B6">
        <w:rPr>
          <w:rFonts w:eastAsia="Times New Roman" w:cs="Times New Roman"/>
          <w:sz w:val="28"/>
          <w:szCs w:val="28"/>
          <w:lang w:val="vi"/>
        </w:rPr>
        <w:t xml:space="preserve">du lịch, văn </w:t>
      </w:r>
      <w:r w:rsidRPr="006125B6">
        <w:rPr>
          <w:rFonts w:eastAsia="Times New Roman" w:cs="Times New Roman"/>
          <w:sz w:val="28"/>
          <w:szCs w:val="28"/>
          <w:lang w:val="vi-VN"/>
        </w:rPr>
        <w:t>hóa,</w:t>
      </w:r>
      <w:r w:rsidRPr="006125B6">
        <w:rPr>
          <w:rFonts w:eastAsia="Times New Roman" w:cs="Times New Roman"/>
          <w:sz w:val="28"/>
          <w:szCs w:val="28"/>
          <w:lang w:val="vi"/>
        </w:rPr>
        <w:t xml:space="preserve"> thể thao, ngoại giao, thương mại,… </w:t>
      </w:r>
      <w:r w:rsidRPr="006125B6">
        <w:rPr>
          <w:rFonts w:eastAsia="Times New Roman" w:cs="Times New Roman"/>
          <w:sz w:val="28"/>
          <w:szCs w:val="28"/>
          <w:lang w:val="vi-VN"/>
        </w:rPr>
        <w:t>như:</w:t>
      </w:r>
      <w:r w:rsidRPr="006125B6">
        <w:rPr>
          <w:rFonts w:eastAsia="Times New Roman" w:cs="Times New Roman"/>
          <w:sz w:val="28"/>
          <w:szCs w:val="28"/>
          <w:lang w:val="vi"/>
        </w:rPr>
        <w:t xml:space="preserve"> lễ hội, festival du lịch, hội chợ, triển lãm, chương trình - chiến dịch xúc tiến quảng bá, tạo dựng và phát triển hình ảnh, thương hiệu,…</w:t>
      </w:r>
      <w:r w:rsidRPr="006125B6">
        <w:rPr>
          <w:rFonts w:eastAsia="Times New Roman" w:cs="Times New Roman"/>
          <w:sz w:val="28"/>
          <w:lang w:val="vi"/>
        </w:rPr>
        <w:t xml:space="preserve"> </w:t>
      </w:r>
    </w:p>
    <w:p w:rsidR="00E86482" w:rsidRPr="006125B6" w:rsidRDefault="00E86482" w:rsidP="00E86482">
      <w:pPr>
        <w:widowControl w:val="0"/>
        <w:autoSpaceDE w:val="0"/>
        <w:autoSpaceDN w:val="0"/>
        <w:spacing w:after="0" w:line="240" w:lineRule="auto"/>
        <w:ind w:firstLine="720"/>
        <w:rPr>
          <w:rFonts w:eastAsia="Times New Roman" w:cs="Times New Roman"/>
          <w:sz w:val="28"/>
          <w:szCs w:val="28"/>
          <w:lang w:val="vi"/>
        </w:rPr>
      </w:pPr>
      <w:r w:rsidRPr="006125B6">
        <w:rPr>
          <w:rFonts w:eastAsia="Times New Roman" w:cs="Times New Roman"/>
          <w:sz w:val="28"/>
          <w:szCs w:val="28"/>
          <w:lang w:val="vi"/>
        </w:rPr>
        <w:t xml:space="preserve">Thông tin </w:t>
      </w:r>
      <w:r w:rsidRPr="006125B6">
        <w:rPr>
          <w:rFonts w:eastAsia="Times New Roman" w:cs="Times New Roman"/>
          <w:sz w:val="28"/>
          <w:szCs w:val="28"/>
          <w:lang w:val="vi-VN"/>
        </w:rPr>
        <w:t>về</w:t>
      </w:r>
      <w:r w:rsidRPr="006125B6">
        <w:rPr>
          <w:rFonts w:eastAsia="Times New Roman" w:cs="Times New Roman"/>
          <w:sz w:val="28"/>
          <w:szCs w:val="28"/>
          <w:lang w:val="vi"/>
        </w:rPr>
        <w:t xml:space="preserve"> các hoạt động của cuộc thi được đăng tải trên các phương tiện truyền thông trong nước và quốc tế, làm tăng thêm ấn tượng </w:t>
      </w:r>
      <w:r w:rsidRPr="006125B6">
        <w:rPr>
          <w:rFonts w:eastAsia="Times New Roman" w:cs="Times New Roman"/>
          <w:sz w:val="28"/>
          <w:szCs w:val="28"/>
          <w:lang w:val="vi-VN"/>
        </w:rPr>
        <w:t>cho</w:t>
      </w:r>
      <w:r w:rsidRPr="006125B6">
        <w:rPr>
          <w:rFonts w:eastAsia="Times New Roman" w:cs="Times New Roman"/>
          <w:sz w:val="28"/>
          <w:szCs w:val="28"/>
          <w:lang w:val="vi"/>
        </w:rPr>
        <w:t xml:space="preserve"> khách du lịch. </w:t>
      </w:r>
      <w:r w:rsidRPr="006125B6">
        <w:rPr>
          <w:rFonts w:eastAsia="Times New Roman" w:cs="Times New Roman"/>
          <w:sz w:val="28"/>
          <w:szCs w:val="28"/>
          <w:lang w:val="vi-VN"/>
        </w:rPr>
        <w:t>Các c</w:t>
      </w:r>
      <w:r w:rsidRPr="006125B6">
        <w:rPr>
          <w:rFonts w:eastAsia="Times New Roman" w:cs="Times New Roman"/>
          <w:sz w:val="28"/>
          <w:szCs w:val="28"/>
          <w:lang w:val="vi"/>
        </w:rPr>
        <w:t xml:space="preserve">uộc thi cần được tổ chức và quản lý phù hợp với sự phát triển của ngành Du </w:t>
      </w:r>
      <w:r w:rsidRPr="006125B6">
        <w:rPr>
          <w:rFonts w:eastAsia="Times New Roman" w:cs="Times New Roman"/>
          <w:sz w:val="28"/>
          <w:szCs w:val="28"/>
          <w:lang w:val="vi-VN"/>
        </w:rPr>
        <w:t>lịch,</w:t>
      </w:r>
      <w:r w:rsidRPr="006125B6">
        <w:rPr>
          <w:rFonts w:eastAsia="Times New Roman" w:cs="Times New Roman"/>
          <w:sz w:val="28"/>
          <w:szCs w:val="28"/>
          <w:lang w:val="vi"/>
        </w:rPr>
        <w:t xml:space="preserve"> đảm bảo hai yếu tố: lập kế hoạch, xây dựng hình ảnh và quảng cáo các điểm tham quan và điểm đến tại sự kiện và khu vực xung quanh cuộc thi để thu hút thêm khách du lịch; quản lý tốt việc cung cấp dịch vụ cho khách du lịch và thúc đẩy các hoạt động tham quan, nghỉ ngơi, giải trí, mua sắm để cả người tham dự các cuộc thi và người đến với sự kiện, cuộc thi được trải nghiệm điểm đến. </w:t>
      </w:r>
    </w:p>
    <w:p w:rsidR="00E86482" w:rsidRPr="006125B6" w:rsidRDefault="00E86482" w:rsidP="00E86482">
      <w:pPr>
        <w:widowControl w:val="0"/>
        <w:autoSpaceDE w:val="0"/>
        <w:autoSpaceDN w:val="0"/>
        <w:spacing w:after="0" w:line="240" w:lineRule="auto"/>
        <w:ind w:firstLine="720"/>
        <w:rPr>
          <w:rFonts w:eastAsia="Times New Roman" w:cs="Times New Roman"/>
          <w:sz w:val="28"/>
          <w:szCs w:val="28"/>
          <w:lang w:val="vi"/>
        </w:rPr>
      </w:pPr>
      <w:r w:rsidRPr="006125B6">
        <w:rPr>
          <w:rFonts w:eastAsia="Times New Roman" w:cs="Times New Roman"/>
          <w:sz w:val="28"/>
          <w:szCs w:val="28"/>
          <w:lang w:val="vi-VN"/>
        </w:rPr>
        <w:lastRenderedPageBreak/>
        <w:t xml:space="preserve">CTTDL </w:t>
      </w:r>
      <w:r w:rsidRPr="006125B6">
        <w:rPr>
          <w:rFonts w:eastAsia="Times New Roman" w:cs="Times New Roman"/>
          <w:sz w:val="28"/>
          <w:szCs w:val="28"/>
          <w:lang w:val="vi"/>
        </w:rPr>
        <w:t xml:space="preserve">diễn ra với nhiều hình thức, quy mô khác </w:t>
      </w:r>
      <w:r w:rsidRPr="006125B6">
        <w:rPr>
          <w:rFonts w:eastAsia="Times New Roman" w:cs="Times New Roman"/>
          <w:sz w:val="28"/>
          <w:szCs w:val="28"/>
          <w:lang w:val="vi-VN"/>
        </w:rPr>
        <w:t>nhau,</w:t>
      </w:r>
      <w:r w:rsidRPr="006125B6">
        <w:rPr>
          <w:rFonts w:eastAsia="Times New Roman" w:cs="Times New Roman"/>
          <w:sz w:val="28"/>
          <w:szCs w:val="28"/>
          <w:lang w:val="vi"/>
        </w:rPr>
        <w:t xml:space="preserve"> </w:t>
      </w:r>
      <w:r w:rsidRPr="006125B6">
        <w:rPr>
          <w:rFonts w:eastAsia="Times New Roman" w:cs="Times New Roman"/>
          <w:sz w:val="28"/>
          <w:szCs w:val="28"/>
          <w:lang w:val="vi-VN"/>
        </w:rPr>
        <w:t>như:</w:t>
      </w:r>
      <w:r w:rsidRPr="006125B6">
        <w:rPr>
          <w:rFonts w:eastAsia="Times New Roman" w:cs="Times New Roman"/>
          <w:sz w:val="28"/>
          <w:szCs w:val="28"/>
          <w:lang w:val="vi"/>
        </w:rPr>
        <w:t xml:space="preserve"> toàn cầu hoặc quốc gia, vùng, địa phương, điểm đến nhưng đều có ý nghĩa đối với việc xây dựng, thúc đẩy, nâng cao chất lượng dịch vụ, hình ảnh của điểm đến, góp phần phát triển, quảng bá du lịch và ở góc độ nhất định, </w:t>
      </w:r>
      <w:r w:rsidRPr="006125B6">
        <w:rPr>
          <w:rFonts w:eastAsia="Times New Roman" w:cs="Times New Roman"/>
          <w:sz w:val="28"/>
          <w:szCs w:val="28"/>
          <w:lang w:val="vi-VN"/>
        </w:rPr>
        <w:t xml:space="preserve">CTTDL </w:t>
      </w:r>
      <w:r w:rsidRPr="006125B6">
        <w:rPr>
          <w:rFonts w:eastAsia="Times New Roman" w:cs="Times New Roman"/>
          <w:sz w:val="28"/>
          <w:szCs w:val="28"/>
          <w:lang w:val="vi"/>
        </w:rPr>
        <w:t xml:space="preserve">góp phần phong phú thêm các sản phẩm du lịch, phát triển cơ sở hạ tầng, cơ sở vật chất kỹ thuật du lịch, gia tăng doanh thu du lịch và tạo thêm việc làm cho người dân địa phương. Bên cạnh đó, </w:t>
      </w:r>
      <w:r w:rsidRPr="006125B6">
        <w:rPr>
          <w:rFonts w:eastAsia="Times New Roman" w:cs="Times New Roman"/>
          <w:sz w:val="28"/>
          <w:szCs w:val="28"/>
          <w:lang w:val="vi-VN"/>
        </w:rPr>
        <w:t xml:space="preserve">CTTDL </w:t>
      </w:r>
      <w:r w:rsidRPr="006125B6">
        <w:rPr>
          <w:rFonts w:eastAsia="Times New Roman" w:cs="Times New Roman"/>
          <w:sz w:val="28"/>
          <w:szCs w:val="28"/>
          <w:lang w:val="vi"/>
        </w:rPr>
        <w:t xml:space="preserve">cũng luôn đặt ra thách thức không nhỏ cho các nhà tổ chức để chất lượng ngày một nâng cao cả về chuyên môn, tính thực tiễn, sức lan toả đến hoạt động kinh doanh và thu hút khách du lịch đến với các điểm đến, nhất là đối với các cuộc thi mang tầm cỡ quốc gia, khu vực và quốc </w:t>
      </w:r>
      <w:r w:rsidRPr="006125B6">
        <w:rPr>
          <w:rFonts w:eastAsia="Times New Roman" w:cs="Times New Roman"/>
          <w:sz w:val="28"/>
          <w:szCs w:val="28"/>
          <w:lang w:val="vi-VN"/>
        </w:rPr>
        <w:t>tế.</w:t>
      </w:r>
    </w:p>
    <w:p w:rsidR="00E86482" w:rsidRPr="006125B6" w:rsidRDefault="00E86482" w:rsidP="00E86482">
      <w:pPr>
        <w:widowControl w:val="0"/>
        <w:autoSpaceDE w:val="0"/>
        <w:autoSpaceDN w:val="0"/>
        <w:spacing w:after="0" w:line="240" w:lineRule="auto"/>
        <w:jc w:val="right"/>
        <w:rPr>
          <w:rFonts w:ascii="Times New Roman Bold" w:eastAsia="Times New Roman" w:hAnsi="Times New Roman Bold" w:cs="Times New Roman"/>
          <w:b/>
          <w:caps/>
          <w:sz w:val="20"/>
          <w:lang w:val="vi"/>
        </w:rPr>
      </w:pPr>
      <w:r w:rsidRPr="006125B6">
        <w:rPr>
          <w:rFonts w:ascii="Times New Roman Bold" w:eastAsia="Times New Roman" w:hAnsi="Times New Roman Bold" w:cs="Times New Roman"/>
          <w:b/>
          <w:caps/>
          <w:sz w:val="22"/>
          <w:lang w:val="vi"/>
        </w:rPr>
        <w:t>Vũ ChiẾn ThẮng</w:t>
      </w:r>
    </w:p>
    <w:p w:rsidR="00E86482" w:rsidRPr="006125B6" w:rsidRDefault="00E86482" w:rsidP="00E86482">
      <w:pPr>
        <w:widowControl w:val="0"/>
        <w:autoSpaceDE w:val="0"/>
        <w:autoSpaceDN w:val="0"/>
        <w:spacing w:after="0" w:line="240" w:lineRule="auto"/>
        <w:rPr>
          <w:rFonts w:ascii="Times New Roman Bold" w:eastAsia="Times New Roman" w:hAnsi="Times New Roman Bold" w:cs="Times New Roman"/>
          <w:b/>
          <w:bCs/>
          <w:spacing w:val="5"/>
          <w:sz w:val="24"/>
          <w:szCs w:val="24"/>
          <w:lang w:val="vi"/>
        </w:rPr>
      </w:pPr>
      <w:r w:rsidRPr="006125B6">
        <w:rPr>
          <w:rFonts w:ascii="Times New Roman Bold" w:eastAsia="Times New Roman" w:hAnsi="Times New Roman Bold" w:cs="Times New Roman"/>
          <w:b/>
          <w:bCs/>
          <w:spacing w:val="5"/>
          <w:sz w:val="24"/>
          <w:szCs w:val="24"/>
          <w:lang w:val="vi"/>
        </w:rPr>
        <w:t>Tài liệu tham khảo:</w:t>
      </w:r>
    </w:p>
    <w:p w:rsidR="00E86482" w:rsidRPr="006125B6" w:rsidRDefault="00E86482" w:rsidP="00E86482">
      <w:pPr>
        <w:widowControl w:val="0"/>
        <w:numPr>
          <w:ilvl w:val="0"/>
          <w:numId w:val="1"/>
        </w:numPr>
        <w:autoSpaceDE w:val="0"/>
        <w:autoSpaceDN w:val="0"/>
        <w:spacing w:after="0" w:line="240" w:lineRule="auto"/>
        <w:jc w:val="left"/>
        <w:rPr>
          <w:rFonts w:ascii="Times New Roman Bold" w:eastAsia="Times New Roman" w:hAnsi="Times New Roman Bold" w:cs="Times New Roman"/>
          <w:b/>
          <w:bCs/>
          <w:spacing w:val="5"/>
          <w:sz w:val="24"/>
          <w:szCs w:val="24"/>
          <w:lang w:val="vi"/>
        </w:rPr>
      </w:pPr>
      <w:r w:rsidRPr="006125B6">
        <w:rPr>
          <w:rFonts w:eastAsia="Times New Roman" w:cs="Times New Roman"/>
          <w:sz w:val="24"/>
          <w:szCs w:val="24"/>
          <w:lang w:val="vi"/>
        </w:rPr>
        <w:t xml:space="preserve">Ban Thư ký ASEAN, </w:t>
      </w:r>
      <w:r w:rsidRPr="006125B6">
        <w:rPr>
          <w:rFonts w:eastAsia="Times New Roman" w:cs="Times New Roman"/>
          <w:i/>
          <w:iCs/>
          <w:sz w:val="24"/>
          <w:szCs w:val="24"/>
          <w:lang w:val="vi"/>
        </w:rPr>
        <w:t xml:space="preserve">Thỏa thuận thừa nhận lẫn nhau trong ASEAN (MRA) về Nghề Du lịch - Sách hướng dẫn, </w:t>
      </w:r>
      <w:r w:rsidRPr="006125B6">
        <w:rPr>
          <w:rFonts w:eastAsia="Times New Roman" w:cs="Times New Roman"/>
          <w:iCs/>
          <w:sz w:val="24"/>
          <w:szCs w:val="24"/>
          <w:lang w:val="vi"/>
        </w:rPr>
        <w:t>Bali, Indonesia,</w:t>
      </w:r>
      <w:r w:rsidRPr="006125B6">
        <w:rPr>
          <w:rFonts w:eastAsia="Times New Roman" w:cs="Times New Roman"/>
          <w:i/>
          <w:iCs/>
          <w:sz w:val="24"/>
          <w:szCs w:val="24"/>
          <w:lang w:val="vi"/>
        </w:rPr>
        <w:t xml:space="preserve"> </w:t>
      </w:r>
      <w:r w:rsidRPr="006125B6">
        <w:rPr>
          <w:rFonts w:eastAsia="Times New Roman" w:cs="Times New Roman"/>
          <w:iCs/>
          <w:sz w:val="24"/>
          <w:szCs w:val="24"/>
          <w:lang w:val="vi"/>
        </w:rPr>
        <w:t>2012,</w:t>
      </w:r>
      <w:r w:rsidRPr="006125B6">
        <w:rPr>
          <w:rFonts w:eastAsia="Times New Roman" w:cs="Times New Roman"/>
          <w:i/>
          <w:iCs/>
          <w:sz w:val="24"/>
          <w:szCs w:val="24"/>
          <w:lang w:val="vi"/>
        </w:rPr>
        <w:t xml:space="preserve"> </w:t>
      </w:r>
      <w:r w:rsidRPr="006125B6">
        <w:rPr>
          <w:rFonts w:eastAsia="Times New Roman" w:cs="Times New Roman"/>
          <w:iCs/>
          <w:sz w:val="24"/>
          <w:szCs w:val="24"/>
          <w:lang w:val="vi"/>
        </w:rPr>
        <w:t>ACCSTP</w:t>
      </w:r>
      <w:r w:rsidRPr="006125B6">
        <w:rPr>
          <w:rFonts w:eastAsia="Times New Roman" w:cs="Times New Roman"/>
          <w:sz w:val="24"/>
          <w:szCs w:val="24"/>
          <w:lang w:val="vi"/>
        </w:rPr>
        <w:t>, tr.11, NTPB, tr.39.</w:t>
      </w:r>
    </w:p>
    <w:p w:rsidR="00E86482" w:rsidRPr="006125B6" w:rsidRDefault="00E86482" w:rsidP="00E86482">
      <w:pPr>
        <w:widowControl w:val="0"/>
        <w:autoSpaceDE w:val="0"/>
        <w:autoSpaceDN w:val="0"/>
        <w:adjustRightInd w:val="0"/>
        <w:spacing w:after="0" w:line="240" w:lineRule="auto"/>
        <w:rPr>
          <w:rFonts w:eastAsia="Times New Roman" w:cs="Times New Roman"/>
          <w:sz w:val="24"/>
          <w:szCs w:val="24"/>
          <w:lang w:val="en-SG"/>
        </w:rPr>
      </w:pPr>
      <w:r w:rsidRPr="006125B6">
        <w:rPr>
          <w:rFonts w:eastAsia="Times New Roman" w:cs="Times New Roman"/>
          <w:sz w:val="24"/>
          <w:szCs w:val="24"/>
          <w:lang w:val="vi"/>
        </w:rPr>
        <w:fldChar w:fldCharType="begin" w:fldLock="1"/>
      </w:r>
      <w:r w:rsidRPr="006125B6">
        <w:rPr>
          <w:rFonts w:eastAsia="Times New Roman" w:cs="Times New Roman"/>
          <w:sz w:val="24"/>
          <w:szCs w:val="24"/>
          <w:lang w:val="vi"/>
        </w:rPr>
        <w:instrText xml:space="preserve">ADDIN Mendeley Bibliography CSL_BIBLIOGRAPHY </w:instrText>
      </w:r>
      <w:r w:rsidRPr="006125B6">
        <w:rPr>
          <w:rFonts w:eastAsia="Times New Roman" w:cs="Times New Roman"/>
          <w:sz w:val="24"/>
          <w:szCs w:val="24"/>
          <w:lang w:val="vi"/>
        </w:rPr>
        <w:fldChar w:fldCharType="separate"/>
      </w:r>
      <w:r w:rsidRPr="006125B6">
        <w:rPr>
          <w:rFonts w:eastAsia="Times New Roman" w:cs="Times New Roman"/>
          <w:sz w:val="24"/>
          <w:szCs w:val="24"/>
          <w:lang w:val="vi"/>
        </w:rPr>
        <w:t xml:space="preserve">2. A. Pizam, </w:t>
      </w:r>
      <w:r w:rsidRPr="006125B6">
        <w:rPr>
          <w:rFonts w:eastAsia="Times New Roman" w:cs="Times New Roman"/>
          <w:i/>
          <w:sz w:val="24"/>
          <w:szCs w:val="24"/>
          <w:lang w:val="vi"/>
        </w:rPr>
        <w:t>International Encyclopedia of Hospitality Management</w:t>
      </w:r>
      <w:r w:rsidRPr="006125B6">
        <w:rPr>
          <w:rFonts w:eastAsia="Times New Roman" w:cs="Times New Roman"/>
          <w:sz w:val="24"/>
          <w:szCs w:val="24"/>
          <w:lang w:val="vi"/>
        </w:rPr>
        <w:t xml:space="preserve">, </w:t>
      </w:r>
      <w:r w:rsidRPr="006125B6">
        <w:rPr>
          <w:rFonts w:eastAsia="Times New Roman" w:cs="Times New Roman"/>
          <w:iCs/>
          <w:sz w:val="24"/>
          <w:szCs w:val="24"/>
          <w:lang w:val="vi"/>
        </w:rPr>
        <w:t>Routledge. https://doi.org/10.4324/9780080961200</w:t>
      </w:r>
      <w:r w:rsidRPr="006125B6">
        <w:rPr>
          <w:rFonts w:eastAsia="Times New Roman" w:cs="Times New Roman"/>
          <w:sz w:val="24"/>
          <w:szCs w:val="24"/>
          <w:lang w:val="vi"/>
        </w:rPr>
        <w:t>, 2010, empowerment, tr.204</w:t>
      </w:r>
      <w:r w:rsidRPr="006125B6">
        <w:rPr>
          <w:rFonts w:eastAsia="Times New Roman" w:cs="Times New Roman"/>
          <w:sz w:val="24"/>
          <w:szCs w:val="24"/>
          <w:lang w:val="en-SG"/>
        </w:rPr>
        <w:t>.</w:t>
      </w:r>
    </w:p>
    <w:p w:rsidR="00E86482" w:rsidRPr="006125B6" w:rsidRDefault="00E86482" w:rsidP="00E86482">
      <w:pPr>
        <w:widowControl w:val="0"/>
        <w:autoSpaceDE w:val="0"/>
        <w:autoSpaceDN w:val="0"/>
        <w:adjustRightInd w:val="0"/>
        <w:spacing w:after="0" w:line="240" w:lineRule="auto"/>
        <w:rPr>
          <w:rFonts w:eastAsia="Times New Roman" w:cs="Times New Roman"/>
          <w:sz w:val="24"/>
          <w:szCs w:val="24"/>
          <w:lang w:val="vi"/>
        </w:rPr>
      </w:pPr>
      <w:r w:rsidRPr="006125B6">
        <w:rPr>
          <w:rFonts w:eastAsia="Times New Roman" w:cs="Times New Roman"/>
          <w:sz w:val="24"/>
          <w:szCs w:val="24"/>
          <w:lang w:val="vi"/>
        </w:rPr>
        <w:t xml:space="preserve">3. J.Jafari, </w:t>
      </w:r>
      <w:r w:rsidRPr="006125B6">
        <w:rPr>
          <w:rFonts w:eastAsia="Times New Roman" w:cs="Times New Roman"/>
          <w:i/>
          <w:iCs/>
          <w:sz w:val="24"/>
          <w:szCs w:val="24"/>
          <w:lang w:val="vi"/>
        </w:rPr>
        <w:t>Encyclopedia of Tourism</w:t>
      </w:r>
      <w:r w:rsidRPr="006125B6">
        <w:rPr>
          <w:rFonts w:eastAsia="Times New Roman" w:cs="Times New Roman"/>
          <w:sz w:val="24"/>
          <w:szCs w:val="24"/>
          <w:lang w:val="vi"/>
        </w:rPr>
        <w:t>, Routledge, London &amp; New York, 2000, https://doi.org/10.4324/9780203195673, event, tr.209, play, tr.442.</w:t>
      </w:r>
    </w:p>
    <w:p w:rsidR="00E86482" w:rsidRPr="006125B6" w:rsidRDefault="00E86482" w:rsidP="00E86482">
      <w:pPr>
        <w:widowControl w:val="0"/>
        <w:autoSpaceDE w:val="0"/>
        <w:autoSpaceDN w:val="0"/>
        <w:spacing w:after="0" w:line="240" w:lineRule="auto"/>
        <w:rPr>
          <w:rFonts w:eastAsia="Calibri" w:cs="Times New Roman"/>
          <w:sz w:val="24"/>
          <w:szCs w:val="24"/>
          <w:shd w:val="clear" w:color="auto" w:fill="FFFFFF"/>
        </w:rPr>
      </w:pPr>
      <w:r w:rsidRPr="006125B6">
        <w:rPr>
          <w:rFonts w:eastAsia="Times New Roman" w:cs="Times New Roman"/>
          <w:sz w:val="24"/>
          <w:szCs w:val="24"/>
          <w:lang w:val="vi"/>
        </w:rPr>
        <w:fldChar w:fldCharType="end"/>
      </w:r>
    </w:p>
    <w:p w:rsidR="00EB5AB5" w:rsidRDefault="00EB5AB5">
      <w:bookmarkStart w:id="0" w:name="_GoBack"/>
      <w:bookmarkEnd w:id="0"/>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C39E9"/>
    <w:multiLevelType w:val="multilevel"/>
    <w:tmpl w:val="E06AFA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82"/>
    <w:rsid w:val="006F23EF"/>
    <w:rsid w:val="00E86482"/>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7CC15-F60D-4185-95EE-1488B35F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48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3827</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ANH THƠ</dc:creator>
  <cp:keywords/>
  <dc:description/>
  <cp:lastModifiedBy>LÊ ANH THƠ</cp:lastModifiedBy>
  <cp:revision>1</cp:revision>
  <dcterms:created xsi:type="dcterms:W3CDTF">2026-06-27T15:30:00Z</dcterms:created>
  <dcterms:modified xsi:type="dcterms:W3CDTF">2026-06-27T15:31:00Z</dcterms:modified>
</cp:coreProperties>
</file>